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/>
      </w:pPr>
      <w:r>
        <w:rPr>
          <w:b/>
          <w:bCs/>
          <w:i/>
          <w:sz w:val="28"/>
        </w:rPr>
        <w:t>Ügyfelvételi Adatlap és Ügyvállalási Feltételek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>
          <w:b/>
          <w:bCs/>
          <w:color w:val="00000A"/>
        </w:rPr>
        <w:t xml:space="preserve">A Pécsi Tudományegyetem Állam- és Jogtudományi Kar Jogklinika </w:t>
      </w:r>
    </w:p>
    <w:p>
      <w:pPr>
        <w:pStyle w:val="Normal"/>
        <w:spacing w:lineRule="auto" w:line="360"/>
        <w:rPr/>
      </w:pPr>
      <w:r>
        <w:rPr>
          <w:b/>
          <w:bCs/>
        </w:rPr>
        <w:t>Iroda: Pécs, 48-as tér 1. telefon:</w:t>
      </w:r>
      <w:r>
        <w:rPr>
          <w:b/>
          <w:bCs/>
          <w:u w:val="dotted"/>
        </w:rPr>
        <w:t xml:space="preserve"> </w:t>
        <w:tab/>
        <w:tab/>
        <w:tab/>
        <w:tab/>
      </w:r>
    </w:p>
    <w:p>
      <w:pPr>
        <w:pStyle w:val="Normal"/>
        <w:spacing w:lineRule="auto" w:line="360"/>
        <w:rPr/>
      </w:pPr>
      <w:r>
        <w:rPr/>
        <w:t>email:.......................................</w:t>
      </w:r>
    </w:p>
    <w:p>
      <w:pPr>
        <w:pStyle w:val="Normal"/>
        <w:spacing w:lineRule="auto" w:line="360"/>
        <w:rPr/>
      </w:pPr>
      <w:r>
        <w:rPr/>
        <w:t>Ügyszám:</w:t>
      </w:r>
    </w:p>
    <w:p>
      <w:pPr>
        <w:pStyle w:val="Normal"/>
        <w:spacing w:lineRule="auto" w:line="360"/>
        <w:rPr/>
      </w:pPr>
      <w:r>
        <w:rPr/>
        <w:t>Regisztráció ideje:</w:t>
      </w:r>
    </w:p>
    <w:p>
      <w:pPr>
        <w:pStyle w:val="Normal"/>
        <w:spacing w:lineRule="auto" w:line="360"/>
        <w:rPr/>
      </w:pPr>
      <w:r>
        <w:rPr/>
        <w:t>Ügyfél neve:</w:t>
      </w:r>
    </w:p>
    <w:p>
      <w:pPr>
        <w:pStyle w:val="Normal"/>
        <w:spacing w:lineRule="auto" w:line="360"/>
        <w:rPr/>
      </w:pPr>
      <w:r>
        <w:rPr/>
        <w:t>Ügyfél elérhetősége (e-mail, telefon):</w:t>
      </w:r>
    </w:p>
    <w:p>
      <w:pPr>
        <w:pStyle w:val="Normal"/>
        <w:spacing w:lineRule="auto" w:line="360"/>
        <w:rPr/>
      </w:pPr>
      <w:r>
        <w:rPr/>
        <w:t>Lezárás ideje:</w:t>
      </w:r>
    </w:p>
    <w:p>
      <w:pPr>
        <w:pStyle w:val="Normal"/>
        <w:spacing w:lineRule="auto" w:line="360"/>
        <w:rPr/>
      </w:pPr>
      <w:r>
        <w:rPr/>
        <w:t>Hallgatók neve:</w:t>
      </w:r>
    </w:p>
    <w:p>
      <w:pPr>
        <w:pStyle w:val="Normal"/>
        <w:spacing w:lineRule="auto" w:line="360"/>
        <w:rPr/>
      </w:pPr>
      <w:r>
        <w:rPr/>
        <w:t>Felügyeletet ellátó oktatók neve: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1. Az ügy típusa:</w:t>
      </w:r>
    </w:p>
    <w:p>
      <w:pPr>
        <w:pStyle w:val="Normal"/>
        <w:spacing w:lineRule="auto" w:line="360"/>
        <w:rPr/>
      </w:pPr>
      <w:r>
        <w:rPr/>
        <w:t xml:space="preserve">□ </w:t>
      </w:r>
      <w:r>
        <w:rPr/>
        <w:t>büntetőjogi</w:t>
      </w:r>
    </w:p>
    <w:p>
      <w:pPr>
        <w:pStyle w:val="Normal"/>
        <w:spacing w:lineRule="auto" w:line="360"/>
        <w:rPr/>
      </w:pPr>
      <w:r>
        <w:rPr/>
        <w:t xml:space="preserve">□ </w:t>
      </w:r>
      <w:r>
        <w:rPr/>
        <w:t>családjogi</w:t>
      </w:r>
    </w:p>
    <w:p>
      <w:pPr>
        <w:pStyle w:val="Normal"/>
        <w:spacing w:lineRule="auto" w:line="360"/>
        <w:rPr/>
      </w:pPr>
      <w:r>
        <w:rPr/>
        <w:t xml:space="preserve">□ </w:t>
      </w:r>
      <w:r>
        <w:rPr/>
        <w:t>munkajogi</w:t>
      </w:r>
    </w:p>
    <w:p>
      <w:pPr>
        <w:pStyle w:val="Normal"/>
        <w:spacing w:lineRule="auto" w:line="360"/>
        <w:rPr/>
      </w:pPr>
      <w:r>
        <w:rPr/>
        <w:t xml:space="preserve">□ </w:t>
      </w:r>
      <w:r>
        <w:rPr/>
        <w:t>közigazgatási jogi</w:t>
      </w:r>
    </w:p>
    <w:p>
      <w:pPr>
        <w:pStyle w:val="Normal"/>
        <w:spacing w:lineRule="auto" w:line="360"/>
        <w:rPr/>
      </w:pPr>
      <w:r>
        <w:rPr/>
        <w:t xml:space="preserve">□ </w:t>
      </w:r>
      <w:r>
        <w:rPr/>
        <w:t>pénzügyi jogi</w:t>
      </w:r>
    </w:p>
    <w:p>
      <w:pPr>
        <w:pStyle w:val="Normal"/>
        <w:spacing w:lineRule="auto" w:line="360"/>
        <w:rPr/>
      </w:pPr>
      <w:r>
        <w:rPr/>
        <w:t xml:space="preserve">□ </w:t>
      </w:r>
      <w:r>
        <w:rPr/>
        <w:t>kereskedelmi jogi</w:t>
      </w:r>
    </w:p>
    <w:p>
      <w:pPr>
        <w:pStyle w:val="Normal"/>
        <w:spacing w:lineRule="auto" w:line="360"/>
        <w:rPr/>
      </w:pPr>
      <w:r>
        <w:rPr/>
        <w:t xml:space="preserve">□ </w:t>
      </w:r>
      <w:r>
        <w:rPr/>
        <w:t>cégjogi</w:t>
      </w:r>
    </w:p>
    <w:p>
      <w:pPr>
        <w:pStyle w:val="Normal"/>
        <w:spacing w:lineRule="auto" w:line="360"/>
        <w:rPr/>
      </w:pPr>
      <w:r>
        <w:rPr/>
        <w:t xml:space="preserve">□ </w:t>
      </w:r>
      <w:r>
        <w:rPr/>
        <w:t>egyéb:</w:t>
      </w:r>
      <w:r>
        <w:rPr>
          <w:u w:val="dotted"/>
        </w:rPr>
        <w:tab/>
        <w:tab/>
        <w:tab/>
        <w:tab/>
      </w:r>
    </w:p>
    <w:p>
      <w:pPr>
        <w:pStyle w:val="Normal"/>
        <w:spacing w:lineRule="auto" w:line="360"/>
        <w:rPr/>
      </w:pPr>
      <w:r>
        <w:rPr/>
        <w:t xml:space="preserve">□ </w:t>
      </w:r>
      <w:r>
        <w:rPr/>
        <w:t>polgári jogi</w:t>
      </w:r>
    </w:p>
    <w:p>
      <w:pPr>
        <w:pStyle w:val="Normal"/>
        <w:spacing w:lineRule="auto" w:line="360"/>
        <w:rPr/>
      </w:pPr>
      <w:r>
        <w:rPr/>
        <w:t xml:space="preserve">□ </w:t>
      </w:r>
      <w:r>
        <w:rPr/>
        <w:t>szociális kérdéssel kapcsolatos</w:t>
      </w:r>
    </w:p>
    <w:p>
      <w:pPr>
        <w:pStyle w:val="Normal"/>
        <w:spacing w:lineRule="auto" w:line="360"/>
        <w:rPr/>
      </w:pPr>
      <w:r>
        <w:rPr/>
        <w:t xml:space="preserve">□ </w:t>
      </w:r>
      <w:r>
        <w:rPr/>
        <w:t>végrehajtással kapcsolatos</w:t>
      </w:r>
    </w:p>
    <w:p>
      <w:pPr>
        <w:pStyle w:val="Normal"/>
        <w:spacing w:lineRule="auto" w:line="360"/>
        <w:rPr/>
      </w:pPr>
      <w:r>
        <w:rPr/>
        <w:t xml:space="preserve">□ </w:t>
      </w:r>
      <w:r>
        <w:rPr/>
        <w:t>civil szervezethez kapcsolódó</w:t>
      </w:r>
    </w:p>
    <w:p>
      <w:pPr>
        <w:pStyle w:val="Normal"/>
        <w:spacing w:lineRule="auto" w:line="360"/>
        <w:rPr/>
      </w:pPr>
      <w:r>
        <w:rPr/>
        <w:t>3. Az ügyfél korábban igénybe vett jogi segítségnyújtást:</w:t>
      </w:r>
    </w:p>
    <w:p>
      <w:pPr>
        <w:pStyle w:val="Normal"/>
        <w:spacing w:lineRule="auto" w:line="360"/>
        <w:rPr/>
      </w:pPr>
      <w:r>
        <w:rPr/>
        <w:t>Igen □ Nem □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/>
      </w:pPr>
      <w:r>
        <w:rPr>
          <w:b/>
          <w:bCs/>
        </w:rPr>
        <w:t>A jogi tanácsadás igénylésének feltételei</w:t>
      </w:r>
    </w:p>
    <w:p>
      <w:pPr>
        <w:pStyle w:val="ListParagraph"/>
        <w:numPr>
          <w:ilvl w:val="0"/>
          <w:numId w:val="1"/>
        </w:numPr>
        <w:spacing w:lineRule="atLeast" w:line="150"/>
        <w:jc w:val="both"/>
        <w:rPr/>
      </w:pPr>
      <w:r>
        <w:rPr/>
        <w:t>A jelen adatlapot a probléma rövid leírásával, valamint az ahhoz tartozó dokumentumok fénymásolatával (eredeti példányt nem fogadhat el a Klinika) együtt kell eljuttatni a Klinikához.</w:t>
      </w:r>
    </w:p>
    <w:p>
      <w:pPr>
        <w:pStyle w:val="ListParagraph"/>
        <w:numPr>
          <w:ilvl w:val="0"/>
          <w:numId w:val="1"/>
        </w:numPr>
        <w:spacing w:lineRule="atLeast" w:line="150"/>
        <w:jc w:val="both"/>
        <w:rPr/>
      </w:pPr>
      <w:r>
        <w:rPr/>
        <w:t>Az adatlap és a csatolt dokumentumok alapján a Klinika eldönti, hogy a probléma megoldásához készíthető-e jogi vélemény, illetve vállalja-e az elkészítést.</w:t>
      </w:r>
    </w:p>
    <w:p>
      <w:pPr>
        <w:pStyle w:val="ListParagraph"/>
        <w:numPr>
          <w:ilvl w:val="0"/>
          <w:numId w:val="1"/>
        </w:numPr>
        <w:spacing w:lineRule="atLeast" w:line="150"/>
        <w:jc w:val="both"/>
        <w:rPr/>
      </w:pPr>
      <w:r>
        <w:rPr/>
        <w:t>A Klinika minden esetben felveszi a kapcsolatot a jelentkező féllel. Ha úgy dönt, hogy elfogadja az ügyet, időpontot egyeztet a jelentkezővel a részletek megbeszéléséhez.</w:t>
      </w:r>
    </w:p>
    <w:p>
      <w:pPr>
        <w:pStyle w:val="Normal"/>
        <w:spacing w:lineRule="atLeast" w:line="150"/>
        <w:jc w:val="both"/>
        <w:rPr/>
      </w:pPr>
      <w:r>
        <w:rPr/>
      </w:r>
    </w:p>
    <w:p>
      <w:pPr>
        <w:pStyle w:val="Normal"/>
        <w:spacing w:lineRule="auto" w:line="360"/>
        <w:rPr/>
      </w:pPr>
      <w:r>
        <w:rPr>
          <w:b/>
          <w:bCs/>
        </w:rPr>
        <w:t>A jogi tanácsadás elkészítésének szabályai:</w:t>
      </w:r>
    </w:p>
    <w:p>
      <w:pPr>
        <w:pStyle w:val="ListParagraph"/>
        <w:numPr>
          <w:ilvl w:val="0"/>
          <w:numId w:val="2"/>
        </w:numPr>
        <w:spacing w:lineRule="atLeast" w:line="150"/>
        <w:jc w:val="both"/>
        <w:rPr/>
      </w:pPr>
      <w:r>
        <w:rPr/>
        <w:t>A jogi tanács ügyféllel való közlése kizárólag írásos formában történhet, kivéve ha az ügy csak a lehetséges jogi fórum, illetve professzionális jogi tanácsadás igénybevételének szükségességére vonatkozik. Egyéb esetekben telefonos, vagy szóbeli tanácsadás tilos.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/>
      </w:pPr>
      <w:r>
        <w:rPr/>
        <w:t xml:space="preserve">A kérdőív kitöltése nem garantálja az ügyfél számára a vélemény elkészítését. </w:t>
      </w:r>
    </w:p>
    <w:p>
      <w:pPr>
        <w:pStyle w:val="ListParagraph"/>
        <w:numPr>
          <w:ilvl w:val="0"/>
          <w:numId w:val="2"/>
        </w:numPr>
        <w:spacing w:lineRule="atLeast" w:line="150"/>
        <w:jc w:val="both"/>
        <w:rPr/>
      </w:pPr>
      <w:r>
        <w:rPr/>
        <w:t>Az ügyfél kifejezetten tudomásul veszi azt a tényt, hogy az adott ügyre vonatkozó jogi véleményt - jogi tanácsadásra jogosult gyakorló jogász felügyelete mellett - jogklinikai hallgatók készítik.</w:t>
      </w:r>
    </w:p>
    <w:p>
      <w:pPr>
        <w:pStyle w:val="ListParagraph"/>
        <w:numPr>
          <w:ilvl w:val="0"/>
          <w:numId w:val="2"/>
        </w:numPr>
        <w:spacing w:lineRule="atLeast" w:line="150"/>
        <w:jc w:val="both"/>
        <w:rPr/>
      </w:pPr>
      <w:r>
        <w:rPr/>
        <w:t xml:space="preserve">A hallgatók a jogi véleményt – az ügy jellegétől, a szükséges munka mennyiségétől és egyéb tanulmányaik által történt terhelésük figyelembe vételével - annak felvételétől számított kettő hét és egy hónap közötti időtartam alatt adják meg. 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/>
      </w:pPr>
      <w:r>
        <w:rPr/>
        <w:t>A jogi vélemény elkészítése ingyenes.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/>
      </w:pPr>
      <w:r>
        <w:rPr/>
        <w:t>A jogi vélemény elkészítésére való felkészülés/felkészítés oktatási célokat szolgál.</w:t>
      </w:r>
    </w:p>
    <w:p>
      <w:pPr>
        <w:pStyle w:val="ListParagraph"/>
        <w:numPr>
          <w:ilvl w:val="0"/>
          <w:numId w:val="2"/>
        </w:numPr>
        <w:spacing w:lineRule="atLeast" w:line="150"/>
        <w:jc w:val="both"/>
        <w:rPr/>
      </w:pPr>
      <w:r>
        <w:rPr/>
        <w:t xml:space="preserve">Az ügyfél által átadott információk személyes, illetve üzleti titkot képeznek, ezzel kapcsolatban a hallgató és a felügyeletet ellátó oktató/gyakorló jogász – a mindenkor hatályos jogszabályok által meghatározott előírások figyelembe vétele mellett – köteles a titkot megtartani. </w:t>
      </w:r>
    </w:p>
    <w:p>
      <w:pPr>
        <w:pStyle w:val="Normal"/>
        <w:spacing w:lineRule="atLeast" w:line="150"/>
        <w:rPr/>
      </w:pPr>
      <w:r>
        <w:rPr/>
      </w:r>
    </w:p>
    <w:p>
      <w:pPr>
        <w:pStyle w:val="Normal"/>
        <w:spacing w:lineRule="auto" w:line="360"/>
        <w:rPr/>
      </w:pPr>
      <w:r>
        <w:rPr>
          <w:b/>
          <w:bCs/>
        </w:rPr>
        <w:t>Nyilatkozatok:</w:t>
      </w:r>
    </w:p>
    <w:p>
      <w:pPr>
        <w:pStyle w:val="ListParagraph"/>
        <w:numPr>
          <w:ilvl w:val="1"/>
          <w:numId w:val="3"/>
        </w:numPr>
        <w:spacing w:lineRule="atLeast" w:line="150"/>
        <w:ind w:left="1440" w:right="0" w:hanging="360"/>
        <w:jc w:val="both"/>
        <w:rPr/>
      </w:pPr>
      <w:r>
        <w:rPr/>
        <w:t>Kijelentem, hogy a jogklinika oktatási célú működésének ismeretében annak részben segítése miatt /jövedelmi viszonyaim miatti rászorultságom okán választottam problémám lehetséges megoldásának előkészítésére a jogi vélemény készítés lehetőségét. A Klinika azonnal megszünteti a jogi vélemény elkészítésére vonatkozóan a felkészülést, vagy befejezi az ügy ellátását, ha tudomására jut, hogy az ügyfél bármilyen hivatalos jogsegélyt nyújtó szerv (ügyvéd, jogsegélyszolgálat, jogi segítő stb.) szolgáltatását igénybe vette.</w:t>
      </w:r>
    </w:p>
    <w:p>
      <w:pPr>
        <w:pStyle w:val="ListParagraph"/>
        <w:numPr>
          <w:ilvl w:val="1"/>
          <w:numId w:val="3"/>
        </w:numPr>
        <w:spacing w:lineRule="atLeast" w:line="150"/>
        <w:ind w:left="1440" w:right="0" w:hanging="360"/>
        <w:jc w:val="both"/>
        <w:rPr/>
      </w:pPr>
      <w:r>
        <w:rPr/>
        <w:t>Mint megbízó ügyfél tudomásul veszem, hogy a jogi tanácsadást/véleményt hallgatók készítették és tartalma alapján csak a saját felelősségemre járhatok el. A Klinika bármikor dönthet úgy, hogy nem készíti el a jogi véleményt. A jogi vélemény, vagy annak hiánya által okozott kárért az egyetem, alkalmazottai, megbízottja, felügyeletet ellátó jogász és a hallgatók nem vállalnak felelősséget, kivéve, ha a károkozás szándékos volt.</w:t>
      </w:r>
    </w:p>
    <w:p>
      <w:pPr>
        <w:pStyle w:val="ListParagraph"/>
        <w:numPr>
          <w:ilvl w:val="1"/>
          <w:numId w:val="3"/>
        </w:numPr>
        <w:spacing w:lineRule="atLeast" w:line="150"/>
        <w:jc w:val="both"/>
        <w:rPr/>
      </w:pPr>
      <w:r>
        <w:rPr/>
        <w:t xml:space="preserve">Mint ügyfél kifejezetten tudomásul veszem, hogy a jogklinika által adott jogi tanácsadás alapján jognyilatkozatot, vagy bármely rendőrségi, bírósági, egyéb hatósági eljárást csak saját felelősségemre tehetek, illetve indíthatok, annak esetleges következményeiért az egyetem, illetve a jogklinika és a felügyeletet ellátó oktatók, szakemberek felelősséget nem vállalnak, velük szemben e tárgykörben eljárás nem indítható. Ezért szükséges a jogklinikai jogi vélemény elkészültét követő bármely jognyilatkozat megtétele, eljárás megindítása előtt jogi képviselet ellátására, vagy az adott eljárásban jogi tanácsadásra jogosult professzionális jogi szakember igénybevétele. </w:t>
      </w:r>
    </w:p>
    <w:p>
      <w:pPr>
        <w:pStyle w:val="ListParagraph"/>
        <w:numPr>
          <w:ilvl w:val="1"/>
          <w:numId w:val="3"/>
        </w:numPr>
        <w:spacing w:lineRule="atLeast" w:line="150"/>
        <w:ind w:left="1440" w:right="0" w:hanging="360"/>
        <w:jc w:val="both"/>
        <w:rPr/>
      </w:pPr>
      <w:r>
        <w:rPr/>
        <w:t>Tudomásul veszem, hogy a hallgatókat és az egyetem alkalmazottait nem köti az ügyvédi titoktartáshoz hasonló kötelezettség, ezért a bíróság és erre jogosult más hatóság az üggyel kapcsolatos  információ közlésére kötelezheti őket.</w:t>
      </w:r>
    </w:p>
    <w:p>
      <w:pPr>
        <w:pStyle w:val="ListParagraph"/>
        <w:numPr>
          <w:ilvl w:val="1"/>
          <w:numId w:val="3"/>
        </w:numPr>
        <w:spacing w:lineRule="atLeast" w:line="150"/>
        <w:ind w:left="1440" w:right="0" w:hanging="360"/>
        <w:jc w:val="both"/>
        <w:rPr/>
      </w:pPr>
      <w:r>
        <w:rPr/>
        <w:t>A jogi tanácsadás, jogi vélemény elkészítésének feltételeivel egyetértek.</w:t>
      </w:r>
    </w:p>
    <w:p>
      <w:pPr>
        <w:pStyle w:val="ListParagraph"/>
        <w:numPr>
          <w:ilvl w:val="1"/>
          <w:numId w:val="3"/>
        </w:numPr>
        <w:spacing w:lineRule="atLeast" w:line="150"/>
        <w:ind w:left="1440" w:right="0" w:hanging="360"/>
        <w:jc w:val="both"/>
        <w:rPr/>
      </w:pPr>
      <w:r>
        <w:rPr/>
        <w:t xml:space="preserve">Önkéntesen hozzájárulok, </w:t>
      </w:r>
      <w:bookmarkStart w:id="0" w:name="_GoBack"/>
      <w:bookmarkEnd w:id="0"/>
      <w:r>
        <w:rPr/>
        <w:t xml:space="preserve">hogy a </w:t>
      </w:r>
      <w:r>
        <w:rPr>
          <w:color w:val="00000A"/>
        </w:rPr>
        <w:t>Pécsi Tudományegyetem Állam- ás Jogtudományi Kar Jogklinikája</w:t>
      </w:r>
      <w:r>
        <w:rPr>
          <w:color w:val="C00000"/>
        </w:rPr>
        <w:t xml:space="preserve"> </w:t>
      </w:r>
      <w:r>
        <w:rPr>
          <w:color w:val="00000A"/>
        </w:rPr>
        <w:t>a 2016/679 EU. Rendelet (általános adatvédelmi rendelet)</w:t>
      </w:r>
      <w:r>
        <w:rPr>
          <w:color w:val="C00000"/>
        </w:rPr>
        <w:t xml:space="preserve"> </w:t>
      </w:r>
      <w:r>
        <w:rPr/>
        <w:t xml:space="preserve">rendelkezéseinek betartásával a megadott személyes adataimat a jogi vélemény elkészítése céljából kezelje. Az adatkezelés célja összhangban áll az ügyfél érdekeivel és az elkészítés során megvalósuló oktatási célokkal is. A jogi vélemény elkészültét követően ill. az ügyfélkapcsolat megszűnése után a személyes adatokra vonatkozó iratokat haladéktalanul megsemmisíti a Jogklinika. </w:t>
      </w:r>
    </w:p>
    <w:p>
      <w:pPr>
        <w:pStyle w:val="ListParagraph"/>
        <w:numPr>
          <w:ilvl w:val="1"/>
          <w:numId w:val="3"/>
        </w:numPr>
        <w:spacing w:lineRule="atLeast" w:line="150"/>
        <w:jc w:val="both"/>
        <w:rPr/>
      </w:pPr>
      <w:r>
        <w:rPr/>
        <w:t>Egyebekben az ügyfél adatainak kezelésére  a GDPR és az információs önrendelkezési jogról és információszabadságról szóló 2011. évi CXII. törvény (továbbiakban: Infotv.) rendelkezései irányadók.</w:t>
      </w:r>
    </w:p>
    <w:p>
      <w:pPr>
        <w:pStyle w:val="ListParagraph"/>
        <w:spacing w:lineRule="atLeast" w:line="150"/>
        <w:ind w:left="0" w:right="0" w:hanging="0"/>
        <w:jc w:val="both"/>
        <w:rPr/>
      </w:pPr>
      <w:r>
        <w:rPr/>
      </w:r>
    </w:p>
    <w:p>
      <w:pPr>
        <w:pStyle w:val="ListParagraph"/>
        <w:spacing w:lineRule="atLeast" w:line="150"/>
        <w:ind w:left="0" w:right="0" w:hanging="0"/>
        <w:jc w:val="both"/>
        <w:rPr/>
      </w:pPr>
      <w:r>
        <w:rPr/>
      </w:r>
    </w:p>
    <w:p>
      <w:pPr>
        <w:pStyle w:val="ListParagraph"/>
        <w:spacing w:lineRule="atLeast" w:line="150"/>
        <w:ind w:left="0" w:right="0" w:hanging="0"/>
        <w:jc w:val="both"/>
        <w:rPr/>
      </w:pPr>
      <w:r>
        <w:rPr/>
      </w:r>
    </w:p>
    <w:p>
      <w:pPr>
        <w:pStyle w:val="ListParagraph"/>
        <w:spacing w:lineRule="atLeast" w:line="150"/>
        <w:ind w:left="0" w:right="0" w:hanging="0"/>
        <w:jc w:val="both"/>
        <w:rPr/>
      </w:pPr>
      <w:r>
        <w:rPr/>
        <w:t xml:space="preserve">Alulírott ügyfél ezennel kijelentem, hogy a jelen okiratot elolvasás és részteles értelmezést követően, mint akaratommal mindenben megegyezőt jóváhagyólag írtam alá.  </w:t>
      </w:r>
    </w:p>
    <w:p>
      <w:pPr>
        <w:pStyle w:val="Normal"/>
        <w:spacing w:lineRule="atLeast" w:line="150"/>
        <w:rPr/>
      </w:pPr>
      <w:r>
        <w:rPr/>
      </w:r>
    </w:p>
    <w:p>
      <w:pPr>
        <w:pStyle w:val="Normal"/>
        <w:spacing w:lineRule="auto" w:line="360"/>
        <w:rPr/>
      </w:pPr>
      <w:r>
        <w:rPr/>
        <w:t>Helyszín:</w:t>
      </w:r>
      <w:r>
        <w:rPr>
          <w:u w:val="dotted"/>
        </w:rPr>
        <w:tab/>
        <w:tab/>
      </w:r>
      <w:r>
        <w:rPr/>
        <w:t>, Dátum:</w:t>
      </w:r>
      <w:r>
        <w:rPr>
          <w:u w:val="dotted"/>
        </w:rPr>
        <w:tab/>
        <w:tab/>
        <w:tab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left"/>
        <w:rPr/>
      </w:pPr>
      <w:r>
        <w:rPr>
          <w:u w:val="dotted"/>
        </w:rPr>
        <w:tab/>
        <w:tab/>
        <w:tab/>
      </w:r>
    </w:p>
    <w:p>
      <w:pPr>
        <w:pStyle w:val="Normal"/>
        <w:spacing w:lineRule="auto" w:line="360"/>
        <w:jc w:val="left"/>
        <w:rPr/>
      </w:pPr>
      <w:r>
        <w:rPr/>
        <w:t xml:space="preserve">Ügyfél </w:t>
      </w:r>
    </w:p>
    <w:p>
      <w:pPr>
        <w:pStyle w:val="Normal"/>
        <w:spacing w:lineRule="atLeast" w:line="150"/>
        <w:ind w:left="0" w:right="0" w:hanging="0"/>
        <w:jc w:val="left"/>
        <w:rPr/>
      </w:pPr>
      <w:r>
        <w:rPr/>
      </w:r>
    </w:p>
    <w:p>
      <w:pPr>
        <w:pStyle w:val="Normal"/>
        <w:spacing w:lineRule="atLeast" w:line="150"/>
        <w:ind w:left="0" w:right="0" w:hanging="0"/>
        <w:jc w:val="left"/>
        <w:rPr/>
      </w:pPr>
      <w:r>
        <w:rPr/>
        <w:t>…</w:t>
      </w:r>
      <w:r>
        <w:rPr/>
        <w:t>.............................                                                        …...........................</w:t>
      </w:r>
    </w:p>
    <w:p>
      <w:pPr>
        <w:pStyle w:val="Normal"/>
        <w:spacing w:lineRule="atLeast" w:line="150"/>
        <w:ind w:left="0" w:right="0" w:hanging="0"/>
        <w:jc w:val="left"/>
        <w:rPr/>
      </w:pPr>
      <w:r>
        <w:rPr/>
        <w:t>Hallgató                                                                                Hallgató</w:t>
      </w:r>
    </w:p>
    <w:p>
      <w:pPr>
        <w:pStyle w:val="Normal"/>
        <w:spacing w:lineRule="atLeast" w:line="150"/>
        <w:ind w:left="0" w:right="0" w:hanging="0"/>
        <w:jc w:val="left"/>
        <w:rPr/>
      </w:pPr>
      <w:r>
        <w:rPr/>
      </w:r>
    </w:p>
    <w:p>
      <w:pPr>
        <w:pStyle w:val="Normal"/>
        <w:spacing w:lineRule="atLeast" w:line="150"/>
        <w:ind w:left="0" w:right="0" w:hanging="0"/>
        <w:jc w:val="left"/>
        <w:rPr/>
      </w:pPr>
      <w:r>
        <w:rPr/>
      </w:r>
    </w:p>
    <w:p>
      <w:pPr>
        <w:pStyle w:val="Normal"/>
        <w:spacing w:lineRule="atLeast" w:line="150"/>
        <w:ind w:left="0" w:right="0" w:hanging="0"/>
        <w:jc w:val="left"/>
        <w:rPr/>
      </w:pPr>
      <w:r>
        <w:rPr/>
        <w:t>…</w:t>
      </w:r>
      <w:r>
        <w:rPr/>
        <w:t>.....................</w:t>
      </w:r>
    </w:p>
    <w:p>
      <w:pPr>
        <w:pStyle w:val="Normal"/>
        <w:spacing w:lineRule="atLeast" w:line="150"/>
        <w:ind w:left="0" w:right="0" w:hanging="0"/>
        <w:jc w:val="left"/>
        <w:rPr/>
      </w:pPr>
      <w:r>
        <w:rPr/>
        <w:t>Hallgató</w:t>
      </w:r>
    </w:p>
    <w:p>
      <w:pPr>
        <w:pStyle w:val="Normal"/>
        <w:spacing w:lineRule="atLeast" w:line="150"/>
        <w:ind w:left="0" w:right="0" w:hanging="0"/>
        <w:jc w:val="left"/>
        <w:rPr/>
      </w:pPr>
      <w:r>
        <w:rPr/>
      </w:r>
    </w:p>
    <w:p>
      <w:pPr>
        <w:pStyle w:val="Normal"/>
        <w:spacing w:lineRule="auto" w:line="360"/>
        <w:ind w:left="23" w:right="0" w:hanging="0"/>
        <w:jc w:val="center"/>
        <w:rPr/>
      </w:pPr>
      <w:r>
        <w:rPr/>
      </w:r>
    </w:p>
    <w:p>
      <w:pPr>
        <w:pStyle w:val="Normal"/>
        <w:spacing w:lineRule="auto" w:line="360"/>
        <w:ind w:left="23" w:right="0" w:hanging="0"/>
        <w:jc w:val="center"/>
        <w:rPr/>
      </w:pPr>
      <w:r>
        <w:rPr/>
      </w:r>
    </w:p>
    <w:p>
      <w:pPr>
        <w:pStyle w:val="Normal"/>
        <w:spacing w:lineRule="auto" w:line="360"/>
        <w:ind w:left="23" w:right="0" w:hanging="0"/>
        <w:jc w:val="left"/>
        <w:rPr/>
      </w:pPr>
      <w:r>
        <w:rPr/>
        <w:t xml:space="preserve">Pécsi Tudományegyetem Állam- és Jogtudományi Kar Jogklinika </w:t>
      </w:r>
    </w:p>
    <w:p>
      <w:pPr>
        <w:pStyle w:val="Normal"/>
        <w:spacing w:lineRule="auto" w:line="360"/>
        <w:ind w:left="23" w:right="0" w:hanging="0"/>
        <w:jc w:val="left"/>
        <w:rPr/>
      </w:pPr>
      <w:r>
        <w:rPr/>
      </w:r>
    </w:p>
    <w:p>
      <w:pPr>
        <w:pStyle w:val="Normal"/>
        <w:spacing w:lineRule="auto" w:line="360"/>
        <w:ind w:left="23" w:right="0" w:hanging="0"/>
        <w:jc w:val="center"/>
        <w:rPr/>
      </w:pPr>
      <w:r>
        <w:rPr>
          <w:b/>
          <w:bCs/>
          <w:i/>
          <w:iCs/>
        </w:rPr>
        <w:t>Tényvázlat a …............számú ügyhöz</w:t>
      </w:r>
    </w:p>
    <w:p>
      <w:pPr>
        <w:pStyle w:val="Normal"/>
        <w:spacing w:lineRule="auto" w:line="360"/>
        <w:ind w:left="23" w:right="0" w:hanging="0"/>
        <w:jc w:val="center"/>
        <w:rPr/>
      </w:pPr>
      <w:r>
        <w:rPr/>
      </w:r>
    </w:p>
    <w:p>
      <w:pPr>
        <w:pStyle w:val="Normal"/>
        <w:spacing w:lineRule="auto" w:line="360"/>
        <w:ind w:left="23" w:right="0" w:hanging="0"/>
        <w:jc w:val="both"/>
        <w:rPr/>
      </w:pPr>
      <w:r>
        <w:rPr/>
      </w:r>
    </w:p>
    <w:p>
      <w:pPr>
        <w:pStyle w:val="Normal"/>
        <w:spacing w:lineRule="atLeast" w:line="150"/>
        <w:ind w:left="23" w:right="0" w:hanging="0"/>
        <w:jc w:val="both"/>
        <w:rPr/>
      </w:pPr>
      <w:r>
        <w:rPr/>
      </w:r>
    </w:p>
    <w:p>
      <w:pPr>
        <w:pStyle w:val="Normal"/>
        <w:spacing w:lineRule="atLeast" w:line="150"/>
        <w:ind w:left="23" w:right="0" w:hanging="0"/>
        <w:jc w:val="both"/>
        <w:rPr/>
      </w:pPr>
      <w:r>
        <w:rPr/>
      </w:r>
    </w:p>
    <w:p>
      <w:pPr>
        <w:pStyle w:val="Normal"/>
        <w:spacing w:lineRule="atLeast" w:line="150"/>
        <w:ind w:left="23" w:right="0" w:hanging="0"/>
        <w:jc w:val="both"/>
        <w:rPr/>
      </w:pPr>
      <w:r>
        <w:rPr/>
      </w:r>
    </w:p>
    <w:p>
      <w:pPr>
        <w:pStyle w:val="Normal"/>
        <w:spacing w:lineRule="atLeast" w:line="150"/>
        <w:ind w:left="23" w:right="0" w:hanging="0"/>
        <w:jc w:val="both"/>
        <w:rPr/>
      </w:pPr>
      <w:r>
        <w:rPr>
          <w:b w:val="false"/>
          <w:bCs w:val="false"/>
          <w:i w:val="false"/>
          <w:iCs w:val="false"/>
        </w:rPr>
        <w:t xml:space="preserve">A jelen tényvázlat megfelelően van felvéve az általam előadottakat hűen tartalmazza, ezért azt mint akaratommal mindenben megegyezőt elolvasást követően jóváhagyólag aláírom. </w:t>
      </w:r>
    </w:p>
    <w:p>
      <w:pPr>
        <w:pStyle w:val="Normal"/>
        <w:spacing w:lineRule="atLeast" w:line="150"/>
        <w:ind w:left="23" w:right="0" w:hanging="0"/>
        <w:jc w:val="both"/>
        <w:rPr/>
      </w:pPr>
      <w:r>
        <w:rPr/>
      </w:r>
    </w:p>
    <w:p>
      <w:pPr>
        <w:pStyle w:val="Normal"/>
        <w:spacing w:lineRule="atLeast" w:line="150"/>
        <w:ind w:left="23" w:right="0" w:hanging="0"/>
        <w:jc w:val="both"/>
        <w:rPr/>
      </w:pPr>
      <w:r>
        <w:rPr/>
      </w:r>
    </w:p>
    <w:p>
      <w:pPr>
        <w:pStyle w:val="Normal"/>
        <w:spacing w:lineRule="atLeast" w:line="150"/>
        <w:ind w:left="23" w:right="0" w:hanging="0"/>
        <w:jc w:val="both"/>
        <w:rPr/>
      </w:pPr>
      <w:r>
        <w:rPr>
          <w:b w:val="false"/>
          <w:bCs w:val="false"/>
          <w:i w:val="false"/>
          <w:iCs w:val="false"/>
        </w:rPr>
        <w:t>…</w:t>
      </w:r>
      <w:r>
        <w:rPr>
          <w:b w:val="false"/>
          <w:bCs w:val="false"/>
          <w:i w:val="false"/>
          <w:iCs w:val="false"/>
        </w:rPr>
        <w:t>..........................</w:t>
      </w:r>
    </w:p>
    <w:p>
      <w:pPr>
        <w:pStyle w:val="Normal"/>
        <w:spacing w:lineRule="atLeast" w:line="150"/>
        <w:ind w:left="23" w:right="0" w:hanging="0"/>
        <w:jc w:val="both"/>
        <w:rPr/>
      </w:pPr>
      <w:r>
        <w:rPr>
          <w:b w:val="false"/>
          <w:bCs w:val="false"/>
          <w:i w:val="false"/>
          <w:iCs w:val="false"/>
        </w:rPr>
        <w:t xml:space="preserve">        </w:t>
      </w:r>
      <w:r>
        <w:rPr>
          <w:b w:val="false"/>
          <w:bCs w:val="false"/>
          <w:i w:val="false"/>
          <w:iCs w:val="false"/>
        </w:rPr>
        <w:t>Ügyfél</w:t>
      </w:r>
    </w:p>
    <w:p>
      <w:pPr>
        <w:pStyle w:val="Normal"/>
        <w:spacing w:lineRule="atLeast" w:line="150"/>
        <w:ind w:left="23" w:right="0" w:hanging="0"/>
        <w:jc w:val="both"/>
        <w:rPr/>
      </w:pPr>
      <w:r>
        <w:rPr/>
      </w:r>
    </w:p>
    <w:p>
      <w:pPr>
        <w:pStyle w:val="Normal"/>
        <w:spacing w:lineRule="atLeast" w:line="150"/>
        <w:ind w:left="23" w:right="0" w:hanging="0"/>
        <w:jc w:val="both"/>
        <w:rPr/>
      </w:pPr>
      <w:r>
        <w:rPr/>
      </w:r>
    </w:p>
    <w:p>
      <w:pPr>
        <w:pStyle w:val="Normal"/>
        <w:spacing w:lineRule="atLeast" w:line="150"/>
        <w:ind w:left="23" w:right="0" w:hanging="0"/>
        <w:jc w:val="both"/>
        <w:rPr/>
      </w:pPr>
      <w:r>
        <w:rPr/>
      </w:r>
    </w:p>
    <w:p>
      <w:pPr>
        <w:pStyle w:val="Normal"/>
        <w:spacing w:lineRule="atLeast" w:line="150"/>
        <w:ind w:left="23" w:right="0" w:hanging="0"/>
        <w:jc w:val="both"/>
        <w:rPr/>
      </w:pPr>
      <w:r>
        <w:rPr/>
      </w:r>
    </w:p>
    <w:p>
      <w:pPr>
        <w:pStyle w:val="Normal"/>
        <w:spacing w:lineRule="atLeast" w:line="150"/>
        <w:ind w:left="23" w:right="0" w:hanging="0"/>
        <w:jc w:val="both"/>
        <w:rPr/>
      </w:pPr>
      <w:r>
        <w:rPr/>
      </w:r>
    </w:p>
    <w:p>
      <w:pPr>
        <w:pStyle w:val="Normal"/>
        <w:spacing w:lineRule="atLeast" w:line="150"/>
        <w:ind w:left="23" w:right="0" w:hanging="0"/>
        <w:jc w:val="both"/>
        <w:rPr/>
      </w:pPr>
      <w:r>
        <w:rPr/>
      </w:r>
    </w:p>
    <w:p>
      <w:pPr>
        <w:pStyle w:val="Normal"/>
        <w:spacing w:lineRule="atLeast" w:line="150"/>
        <w:ind w:left="0" w:right="0" w:hanging="0"/>
        <w:jc w:val="center"/>
        <w:rPr/>
      </w:pPr>
      <w:r>
        <w:rPr/>
        <w:t xml:space="preserve">                                                             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rFonts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0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hu-HU" w:eastAsia="hu-HU" w:bidi="ar-SA"/>
    </w:rPr>
  </w:style>
  <w:style w:type="character" w:styleId="DefaultParagraphFont">
    <w:name w:val="Default Paragraph Font"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Wingdings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Wingdings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Wingdings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Wingdings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zvegtrzs">
    <w:name w:val="Body Text"/>
    <w:basedOn w:val="Normal"/>
    <w:pPr>
      <w:spacing w:before="0" w:after="120"/>
    </w:pPr>
    <w:rPr/>
  </w:style>
  <w:style w:type="paragraph" w:styleId="Lista">
    <w:name w:val="List"/>
    <w:basedOn w:val="Szvegtrzs"/>
    <w:pPr/>
    <w:rPr>
      <w:rFonts w:cs="Mang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LibreOffice/5.2.3.3$Windows_X86_64 LibreOffice_project/d54a8868f08a7b39642414cf2c8ef2f228f780cf</Application>
  <Pages>4</Pages>
  <Words>729</Words>
  <Characters>5007</Characters>
  <CharactersWithSpaces>5898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2013-09-09T09:53:00Z</dcterms:created>
  <dc:creator>.</dc:creator>
  <dc:description/>
  <dc:language>hu-HU</dc:language>
  <cp:lastModifiedBy/>
  <dcterms:modified xsi:type="dcterms:W3CDTF">2020-09-30T11:41:14Z</dcterms:modified>
  <cp:revision>12</cp:revision>
  <dc:subject/>
  <dc:title>University legal clinic – Information Form</dc:title>
</cp:coreProperties>
</file>